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DED3" w14:textId="7ABEF750" w:rsidR="008C4F83" w:rsidRDefault="00841155">
      <w:pPr>
        <w:rPr>
          <w:b/>
          <w:bCs/>
        </w:rPr>
      </w:pPr>
      <w:r w:rsidRPr="008961B1">
        <w:rPr>
          <w:b/>
          <w:bCs/>
        </w:rPr>
        <w:t>Housing and health : Revised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766"/>
        <w:gridCol w:w="1053"/>
      </w:tblGrid>
      <w:tr w:rsidR="008961B1" w14:paraId="4207676F" w14:textId="77777777" w:rsidTr="008961B1">
        <w:tc>
          <w:tcPr>
            <w:tcW w:w="1129" w:type="dxa"/>
          </w:tcPr>
          <w:p w14:paraId="4509FCD6" w14:textId="3D80F334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766" w:type="dxa"/>
          </w:tcPr>
          <w:p w14:paraId="2B356A2C" w14:textId="3EAFB18F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Standards</w:t>
            </w:r>
          </w:p>
        </w:tc>
        <w:tc>
          <w:tcPr>
            <w:tcW w:w="1053" w:type="dxa"/>
          </w:tcPr>
          <w:p w14:paraId="3B36D7F3" w14:textId="617BC6A3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8961B1" w14:paraId="221B6A3A" w14:textId="77777777" w:rsidTr="008961B1">
        <w:tc>
          <w:tcPr>
            <w:tcW w:w="1129" w:type="dxa"/>
          </w:tcPr>
          <w:p w14:paraId="3117E537" w14:textId="753B8C65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766" w:type="dxa"/>
          </w:tcPr>
          <w:p w14:paraId="7CC14B4A" w14:textId="43C18BD6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Wider engagement across numerous cl</w:t>
            </w:r>
            <w:r w:rsidR="00150F1E">
              <w:rPr>
                <w:b/>
                <w:bCs/>
              </w:rPr>
              <w:t>i</w:t>
            </w:r>
            <w:r>
              <w:rPr>
                <w:b/>
                <w:bCs/>
              </w:rPr>
              <w:t>nical services such as respiratory, in patient, smoking cessation</w:t>
            </w:r>
          </w:p>
        </w:tc>
        <w:tc>
          <w:tcPr>
            <w:tcW w:w="1053" w:type="dxa"/>
          </w:tcPr>
          <w:p w14:paraId="1E724DB2" w14:textId="2F10FFD6" w:rsidR="008961B1" w:rsidRDefault="008961B1">
            <w:pPr>
              <w:rPr>
                <w:b/>
                <w:bCs/>
              </w:rPr>
            </w:pPr>
            <w:r w:rsidRPr="00150F1E">
              <w:rPr>
                <w:b/>
                <w:bCs/>
                <w:color w:val="FFC000"/>
              </w:rPr>
              <w:t>7 (+2)</w:t>
            </w:r>
          </w:p>
        </w:tc>
      </w:tr>
      <w:tr w:rsidR="008961B1" w14:paraId="77456137" w14:textId="77777777" w:rsidTr="008961B1">
        <w:tc>
          <w:tcPr>
            <w:tcW w:w="1129" w:type="dxa"/>
          </w:tcPr>
          <w:p w14:paraId="10C6EE44" w14:textId="3E17C8EF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766" w:type="dxa"/>
          </w:tcPr>
          <w:p w14:paraId="3AAF6D36" w14:textId="4AF6D566" w:rsidR="008961B1" w:rsidRDefault="008961B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Definitely a</w:t>
            </w:r>
            <w:proofErr w:type="gramEnd"/>
            <w:r>
              <w:rPr>
                <w:b/>
                <w:bCs/>
              </w:rPr>
              <w:t xml:space="preserve"> wider expansion and several new services now engaged </w:t>
            </w:r>
            <w:proofErr w:type="spellStart"/>
            <w:r>
              <w:rPr>
                <w:b/>
                <w:bCs/>
              </w:rPr>
              <w:t>eg</w:t>
            </w:r>
            <w:proofErr w:type="spellEnd"/>
            <w:r>
              <w:rPr>
                <w:b/>
                <w:bCs/>
              </w:rPr>
              <w:t xml:space="preserve"> Hope4U, MAPS, Warm Wales, 7Y</w:t>
            </w:r>
          </w:p>
        </w:tc>
        <w:tc>
          <w:tcPr>
            <w:tcW w:w="1053" w:type="dxa"/>
          </w:tcPr>
          <w:p w14:paraId="76FD8788" w14:textId="30B09C56" w:rsidR="008961B1" w:rsidRDefault="008961B1">
            <w:pPr>
              <w:rPr>
                <w:b/>
                <w:bCs/>
              </w:rPr>
            </w:pPr>
            <w:r w:rsidRPr="00150F1E">
              <w:rPr>
                <w:b/>
                <w:bCs/>
                <w:color w:val="00B050"/>
              </w:rPr>
              <w:t xml:space="preserve">8 </w:t>
            </w:r>
            <w:r w:rsidRPr="00150F1E">
              <w:rPr>
                <w:b/>
                <w:bCs/>
                <w:color w:val="00B050"/>
              </w:rPr>
              <w:t>(+</w:t>
            </w:r>
            <w:r w:rsidRPr="00150F1E">
              <w:rPr>
                <w:b/>
                <w:bCs/>
                <w:color w:val="00B050"/>
              </w:rPr>
              <w:t>3</w:t>
            </w:r>
            <w:r w:rsidRPr="00150F1E">
              <w:rPr>
                <w:b/>
                <w:bCs/>
                <w:color w:val="00B050"/>
              </w:rPr>
              <w:t>)</w:t>
            </w:r>
          </w:p>
        </w:tc>
      </w:tr>
      <w:tr w:rsidR="008961B1" w14:paraId="7247980F" w14:textId="77777777" w:rsidTr="008961B1">
        <w:tc>
          <w:tcPr>
            <w:tcW w:w="1129" w:type="dxa"/>
          </w:tcPr>
          <w:p w14:paraId="3BAF8214" w14:textId="7A6591C1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766" w:type="dxa"/>
          </w:tcPr>
          <w:p w14:paraId="571DFFEC" w14:textId="59BD78FF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More of a consolidation of existing pathways although some gains due to the wider range of partnership</w:t>
            </w:r>
          </w:p>
        </w:tc>
        <w:tc>
          <w:tcPr>
            <w:tcW w:w="1053" w:type="dxa"/>
          </w:tcPr>
          <w:p w14:paraId="34EFE597" w14:textId="45D58D3E" w:rsidR="008961B1" w:rsidRDefault="008961B1">
            <w:pPr>
              <w:rPr>
                <w:b/>
                <w:bCs/>
              </w:rPr>
            </w:pPr>
            <w:r w:rsidRPr="00150F1E">
              <w:rPr>
                <w:b/>
                <w:bCs/>
                <w:color w:val="FFC000"/>
              </w:rPr>
              <w:t xml:space="preserve">7 </w:t>
            </w:r>
            <w:r w:rsidRPr="00150F1E">
              <w:rPr>
                <w:b/>
                <w:bCs/>
                <w:color w:val="FFC000"/>
              </w:rPr>
              <w:t>(+2)</w:t>
            </w:r>
          </w:p>
        </w:tc>
      </w:tr>
      <w:tr w:rsidR="008961B1" w14:paraId="798FAE57" w14:textId="77777777" w:rsidTr="008961B1">
        <w:tc>
          <w:tcPr>
            <w:tcW w:w="1129" w:type="dxa"/>
          </w:tcPr>
          <w:p w14:paraId="3FA17F38" w14:textId="5C1A6EE7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66" w:type="dxa"/>
          </w:tcPr>
          <w:p w14:paraId="319A6647" w14:textId="7FF2CF83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Excess winter deaths still the major issue and some gains with Community of Practice on indoor warmth</w:t>
            </w:r>
          </w:p>
        </w:tc>
        <w:tc>
          <w:tcPr>
            <w:tcW w:w="1053" w:type="dxa"/>
          </w:tcPr>
          <w:p w14:paraId="0B5290F5" w14:textId="16C84E8C" w:rsidR="008961B1" w:rsidRPr="00150F1E" w:rsidRDefault="008961B1">
            <w:pPr>
              <w:rPr>
                <w:b/>
                <w:bCs/>
                <w:color w:val="FF0000"/>
              </w:rPr>
            </w:pPr>
            <w:r w:rsidRPr="00150F1E">
              <w:rPr>
                <w:b/>
                <w:bCs/>
                <w:color w:val="FF0000"/>
              </w:rPr>
              <w:t xml:space="preserve">5 </w:t>
            </w:r>
            <w:r w:rsidRPr="00150F1E">
              <w:rPr>
                <w:b/>
                <w:bCs/>
                <w:color w:val="FF0000"/>
              </w:rPr>
              <w:t>(+2)</w:t>
            </w:r>
          </w:p>
        </w:tc>
      </w:tr>
      <w:tr w:rsidR="008961B1" w14:paraId="15CAC057" w14:textId="77777777" w:rsidTr="008961B1">
        <w:tc>
          <w:tcPr>
            <w:tcW w:w="1129" w:type="dxa"/>
          </w:tcPr>
          <w:p w14:paraId="1820274F" w14:textId="1D7A1E1D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766" w:type="dxa"/>
          </w:tcPr>
          <w:p w14:paraId="2490C42A" w14:textId="16F469AC" w:rsidR="008961B1" w:rsidRDefault="008961B1">
            <w:pPr>
              <w:rPr>
                <w:b/>
                <w:bCs/>
              </w:rPr>
            </w:pPr>
            <w:r>
              <w:rPr>
                <w:b/>
                <w:bCs/>
              </w:rPr>
              <w:t>Falls prevention still in partnership with Care &amp; Repair.  Initial score</w:t>
            </w:r>
            <w:r w:rsidR="00150F1E">
              <w:rPr>
                <w:b/>
                <w:bCs/>
              </w:rPr>
              <w:t xml:space="preserve"> from 2022</w:t>
            </w:r>
            <w:r>
              <w:rPr>
                <w:b/>
                <w:bCs/>
              </w:rPr>
              <w:t xml:space="preserve"> too high so 5 is progress </w:t>
            </w:r>
          </w:p>
        </w:tc>
        <w:tc>
          <w:tcPr>
            <w:tcW w:w="1053" w:type="dxa"/>
          </w:tcPr>
          <w:p w14:paraId="60C23727" w14:textId="3202B24E" w:rsidR="008961B1" w:rsidRPr="00150F1E" w:rsidRDefault="00150F1E">
            <w:pPr>
              <w:rPr>
                <w:b/>
                <w:bCs/>
                <w:color w:val="FF0000"/>
              </w:rPr>
            </w:pPr>
            <w:r w:rsidRPr="00150F1E">
              <w:rPr>
                <w:b/>
                <w:bCs/>
                <w:color w:val="FF0000"/>
              </w:rPr>
              <w:t xml:space="preserve">5 </w:t>
            </w:r>
            <w:r w:rsidRPr="00150F1E">
              <w:rPr>
                <w:b/>
                <w:bCs/>
                <w:color w:val="FF0000"/>
              </w:rPr>
              <w:t>(+</w:t>
            </w:r>
            <w:r w:rsidRPr="00150F1E">
              <w:rPr>
                <w:b/>
                <w:bCs/>
                <w:color w:val="FF0000"/>
              </w:rPr>
              <w:t>0</w:t>
            </w:r>
            <w:r w:rsidRPr="00150F1E">
              <w:rPr>
                <w:b/>
                <w:bCs/>
                <w:color w:val="FF0000"/>
              </w:rPr>
              <w:t>)</w:t>
            </w:r>
          </w:p>
        </w:tc>
      </w:tr>
      <w:tr w:rsidR="008961B1" w14:paraId="75C06887" w14:textId="77777777" w:rsidTr="008961B1">
        <w:tc>
          <w:tcPr>
            <w:tcW w:w="1129" w:type="dxa"/>
          </w:tcPr>
          <w:p w14:paraId="1E419609" w14:textId="2C7F3261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66" w:type="dxa"/>
          </w:tcPr>
          <w:p w14:paraId="5525953C" w14:textId="03957C3C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care gains for example posters displayed in GPs and pharmacists.  </w:t>
            </w:r>
            <w:proofErr w:type="gramStart"/>
            <w:r>
              <w:rPr>
                <w:b/>
                <w:bCs/>
              </w:rPr>
              <w:t>Plus</w:t>
            </w:r>
            <w:proofErr w:type="gramEnd"/>
            <w:r>
              <w:rPr>
                <w:b/>
                <w:bCs/>
              </w:rPr>
              <w:t xml:space="preserve"> contribution to Newsletter  </w:t>
            </w:r>
          </w:p>
        </w:tc>
        <w:tc>
          <w:tcPr>
            <w:tcW w:w="1053" w:type="dxa"/>
          </w:tcPr>
          <w:p w14:paraId="1DDB00F5" w14:textId="6FE9E935" w:rsidR="008961B1" w:rsidRDefault="00150F1E">
            <w:pPr>
              <w:rPr>
                <w:b/>
                <w:bCs/>
              </w:rPr>
            </w:pPr>
            <w:r w:rsidRPr="00150F1E">
              <w:rPr>
                <w:b/>
                <w:bCs/>
                <w:color w:val="FF0000"/>
              </w:rPr>
              <w:t>5 (+</w:t>
            </w:r>
            <w:r>
              <w:rPr>
                <w:b/>
                <w:bCs/>
                <w:color w:val="FF0000"/>
              </w:rPr>
              <w:t>2</w:t>
            </w:r>
            <w:r w:rsidRPr="00150F1E">
              <w:rPr>
                <w:b/>
                <w:bCs/>
                <w:color w:val="FF0000"/>
              </w:rPr>
              <w:t>)</w:t>
            </w:r>
          </w:p>
        </w:tc>
      </w:tr>
      <w:tr w:rsidR="008961B1" w14:paraId="15CFBA78" w14:textId="77777777" w:rsidTr="008961B1">
        <w:tc>
          <w:tcPr>
            <w:tcW w:w="1129" w:type="dxa"/>
          </w:tcPr>
          <w:p w14:paraId="717705B7" w14:textId="2D602EDD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1207D">
              <w:rPr>
                <w:b/>
                <w:bCs/>
              </w:rPr>
              <w:t xml:space="preserve"> – 3</w:t>
            </w:r>
          </w:p>
        </w:tc>
        <w:tc>
          <w:tcPr>
            <w:tcW w:w="11766" w:type="dxa"/>
          </w:tcPr>
          <w:p w14:paraId="7E23354A" w14:textId="6B14A548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Position maintained with Care &amp; Repair and other partners.  Looking at key determinants such as hoarding</w:t>
            </w:r>
          </w:p>
        </w:tc>
        <w:tc>
          <w:tcPr>
            <w:tcW w:w="1053" w:type="dxa"/>
          </w:tcPr>
          <w:p w14:paraId="27C042CF" w14:textId="63B2CA2E" w:rsidR="008961B1" w:rsidRDefault="00150F1E">
            <w:pPr>
              <w:rPr>
                <w:b/>
                <w:bCs/>
              </w:rPr>
            </w:pPr>
            <w:r w:rsidRPr="00150F1E">
              <w:rPr>
                <w:b/>
                <w:bCs/>
                <w:color w:val="FF0000"/>
              </w:rPr>
              <w:t>5 (+0)</w:t>
            </w:r>
          </w:p>
        </w:tc>
      </w:tr>
      <w:tr w:rsidR="008961B1" w14:paraId="15404751" w14:textId="77777777" w:rsidTr="008961B1">
        <w:tc>
          <w:tcPr>
            <w:tcW w:w="1129" w:type="dxa"/>
          </w:tcPr>
          <w:p w14:paraId="5D315B11" w14:textId="5D034005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766" w:type="dxa"/>
          </w:tcPr>
          <w:p w14:paraId="497F9456" w14:textId="67856820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Position maintained</w:t>
            </w:r>
            <w:r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 xml:space="preserve">Looking at key determinants such as </w:t>
            </w:r>
            <w:r>
              <w:rPr>
                <w:b/>
                <w:bCs/>
              </w:rPr>
              <w:t>energy performance certificate and data sharing</w:t>
            </w:r>
          </w:p>
        </w:tc>
        <w:tc>
          <w:tcPr>
            <w:tcW w:w="1053" w:type="dxa"/>
          </w:tcPr>
          <w:p w14:paraId="3E6A7611" w14:textId="7FF861FF" w:rsidR="008961B1" w:rsidRDefault="00150F1E">
            <w:pPr>
              <w:rPr>
                <w:b/>
                <w:bCs/>
              </w:rPr>
            </w:pPr>
            <w:r w:rsidRPr="00150F1E">
              <w:rPr>
                <w:b/>
                <w:bCs/>
                <w:color w:val="FFC000"/>
              </w:rPr>
              <w:t>7 (+</w:t>
            </w:r>
            <w:r>
              <w:rPr>
                <w:b/>
                <w:bCs/>
                <w:color w:val="FFC000"/>
              </w:rPr>
              <w:t>0</w:t>
            </w:r>
            <w:r w:rsidRPr="00150F1E">
              <w:rPr>
                <w:b/>
                <w:bCs/>
                <w:color w:val="FFC000"/>
              </w:rPr>
              <w:t>)</w:t>
            </w:r>
          </w:p>
        </w:tc>
      </w:tr>
      <w:tr w:rsidR="008961B1" w14:paraId="5B4E7633" w14:textId="77777777" w:rsidTr="008961B1">
        <w:tc>
          <w:tcPr>
            <w:tcW w:w="1129" w:type="dxa"/>
          </w:tcPr>
          <w:p w14:paraId="5DFC996F" w14:textId="76D476D5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66" w:type="dxa"/>
          </w:tcPr>
          <w:p w14:paraId="3E971B34" w14:textId="26C1D838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Very positive move forward with several conference papers and collaboration with University of South Wales</w:t>
            </w:r>
          </w:p>
        </w:tc>
        <w:tc>
          <w:tcPr>
            <w:tcW w:w="1053" w:type="dxa"/>
          </w:tcPr>
          <w:p w14:paraId="45FB789A" w14:textId="1B387C16" w:rsidR="008961B1" w:rsidRDefault="00150F1E">
            <w:pPr>
              <w:rPr>
                <w:b/>
                <w:bCs/>
              </w:rPr>
            </w:pPr>
            <w:r w:rsidRPr="00150F1E">
              <w:rPr>
                <w:b/>
                <w:bCs/>
                <w:color w:val="FFC000"/>
              </w:rPr>
              <w:t>7 (+</w:t>
            </w:r>
            <w:r>
              <w:rPr>
                <w:b/>
                <w:bCs/>
                <w:color w:val="FFC000"/>
              </w:rPr>
              <w:t>4</w:t>
            </w:r>
            <w:r w:rsidRPr="00150F1E">
              <w:rPr>
                <w:b/>
                <w:bCs/>
                <w:color w:val="FFC000"/>
              </w:rPr>
              <w:t>)</w:t>
            </w:r>
          </w:p>
        </w:tc>
      </w:tr>
      <w:tr w:rsidR="008961B1" w14:paraId="563749EA" w14:textId="77777777" w:rsidTr="008961B1">
        <w:tc>
          <w:tcPr>
            <w:tcW w:w="1129" w:type="dxa"/>
          </w:tcPr>
          <w:p w14:paraId="6C195C97" w14:textId="1A273F64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1207D">
              <w:rPr>
                <w:b/>
                <w:bCs/>
              </w:rPr>
              <w:t xml:space="preserve"> - 6</w:t>
            </w:r>
          </w:p>
        </w:tc>
        <w:tc>
          <w:tcPr>
            <w:tcW w:w="11766" w:type="dxa"/>
          </w:tcPr>
          <w:p w14:paraId="2401F36F" w14:textId="3B8BBA36" w:rsidR="008961B1" w:rsidRDefault="00150F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Initial estimate too high.  </w:t>
            </w:r>
            <w:r w:rsidR="007F314A">
              <w:rPr>
                <w:b/>
                <w:bCs/>
              </w:rPr>
              <w:t>Score of 9 maintained via wide range of initiatives including website on housing</w:t>
            </w:r>
          </w:p>
        </w:tc>
        <w:tc>
          <w:tcPr>
            <w:tcW w:w="1053" w:type="dxa"/>
          </w:tcPr>
          <w:p w14:paraId="79E4B66C" w14:textId="1BB227EF" w:rsidR="008961B1" w:rsidRDefault="007F314A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9</w:t>
            </w:r>
            <w:r w:rsidRPr="00150F1E">
              <w:rPr>
                <w:b/>
                <w:bCs/>
                <w:color w:val="00B050"/>
              </w:rPr>
              <w:t xml:space="preserve"> (+</w:t>
            </w:r>
            <w:r>
              <w:rPr>
                <w:b/>
                <w:bCs/>
                <w:color w:val="00B050"/>
              </w:rPr>
              <w:t>0</w:t>
            </w:r>
            <w:r w:rsidRPr="00150F1E">
              <w:rPr>
                <w:b/>
                <w:bCs/>
                <w:color w:val="00B050"/>
              </w:rPr>
              <w:t>)</w:t>
            </w:r>
          </w:p>
        </w:tc>
      </w:tr>
    </w:tbl>
    <w:p w14:paraId="24366350" w14:textId="77777777" w:rsidR="008961B1" w:rsidRDefault="008961B1">
      <w:pPr>
        <w:rPr>
          <w:b/>
          <w:bCs/>
        </w:rPr>
      </w:pPr>
    </w:p>
    <w:p w14:paraId="674074D7" w14:textId="7DA84370" w:rsidR="0001207D" w:rsidRDefault="0001207D">
      <w:pPr>
        <w:rPr>
          <w:b/>
          <w:bCs/>
        </w:rPr>
      </w:pPr>
      <w:r>
        <w:rPr>
          <w:b/>
          <w:bCs/>
        </w:rPr>
        <w:t xml:space="preserve">Overall score of 65 in 2025.  Up from 45 in 2022.  2022 figure adjusted downwards to reflect retrospective too high scores.  Need ot progress work on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indoor warmth ii) falls prevention iii) primary care iv) Hospital discharge.  Intention is to add further 20% in 3 years with everything green.  This will be facilitated by having a national programme.  Positive assessment in that green elements now doubled, amber elements increased four </w:t>
      </w:r>
      <w:proofErr w:type="gramStart"/>
      <w:r>
        <w:rPr>
          <w:b/>
          <w:bCs/>
        </w:rPr>
        <w:t>fold</w:t>
      </w:r>
      <w:proofErr w:type="gramEnd"/>
      <w:r>
        <w:rPr>
          <w:b/>
          <w:bCs/>
        </w:rPr>
        <w:t xml:space="preserve"> and all red elements have made progress.  </w:t>
      </w:r>
      <w:r w:rsidR="00F721ED">
        <w:rPr>
          <w:b/>
          <w:bCs/>
        </w:rPr>
        <w:t>The red elements relate to operational service delivery &amp; implementation</w:t>
      </w:r>
    </w:p>
    <w:p w14:paraId="28B50FC4" w14:textId="607E4596" w:rsidR="0001207D" w:rsidRPr="008961B1" w:rsidRDefault="0001207D">
      <w:pPr>
        <w:rPr>
          <w:b/>
          <w:bCs/>
        </w:rPr>
      </w:pPr>
      <w:r>
        <w:rPr>
          <w:b/>
          <w:bCs/>
        </w:rPr>
        <w:t xml:space="preserve"> </w:t>
      </w:r>
    </w:p>
    <w:sectPr w:rsidR="0001207D" w:rsidRPr="008961B1" w:rsidSect="00841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55"/>
    <w:rsid w:val="0001207D"/>
    <w:rsid w:val="00150F1E"/>
    <w:rsid w:val="007F314A"/>
    <w:rsid w:val="0083073D"/>
    <w:rsid w:val="00841155"/>
    <w:rsid w:val="008961B1"/>
    <w:rsid w:val="008C4F83"/>
    <w:rsid w:val="00A23A27"/>
    <w:rsid w:val="00DB4080"/>
    <w:rsid w:val="00F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8BFF"/>
  <w15:chartTrackingRefBased/>
  <w15:docId w15:val="{78C8EB95-51A0-48D3-BBF3-70DD91E0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Hywel Dda University Health Board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Morgan (Hywel Dda Health Board - Strategic Partnerships Manager)</dc:creator>
  <cp:keywords/>
  <dc:description/>
  <cp:lastModifiedBy>Gareth Morgan (Hywel Dda Health Board - Strategic Partnerships Manager)</cp:lastModifiedBy>
  <cp:revision>3</cp:revision>
  <dcterms:created xsi:type="dcterms:W3CDTF">2025-02-06T13:23:00Z</dcterms:created>
  <dcterms:modified xsi:type="dcterms:W3CDTF">2025-02-06T14:02:00Z</dcterms:modified>
</cp:coreProperties>
</file>